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BA9F7FF" w:rsidR="008D05CF" w:rsidRPr="001341D8" w:rsidRDefault="008D05CF" w:rsidP="008D05CF">
      <w:pPr>
        <w:pBdr>
          <w:bottom w:val="single" w:sz="4" w:space="1" w:color="auto"/>
        </w:pBdr>
        <w:tabs>
          <w:tab w:val="right" w:pos="9214"/>
        </w:tabs>
        <w:spacing w:after="0"/>
        <w:rPr>
          <w:rFonts w:ascii="Arial" w:eastAsia="MS Mincho" w:hAnsi="Arial" w:cs="Arial"/>
          <w:b/>
          <w:sz w:val="24"/>
          <w:szCs w:val="24"/>
          <w:lang w:val="en-US" w:eastAsia="ja-JP"/>
        </w:rPr>
      </w:pPr>
      <w:bookmarkStart w:id="0" w:name="_Hlk126159495"/>
      <w:r w:rsidRPr="001C332D">
        <w:rPr>
          <w:rFonts w:ascii="Arial" w:eastAsia="MS Mincho" w:hAnsi="Arial" w:cs="Arial"/>
          <w:b/>
          <w:sz w:val="24"/>
          <w:szCs w:val="24"/>
          <w:lang w:eastAsia="ja-JP"/>
        </w:rPr>
        <w:t>3GPP TSG-SA WG1 Meeting #</w:t>
      </w:r>
      <w:r w:rsidR="00B0450D">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341D8" w:rsidRPr="001341D8">
        <w:rPr>
          <w:rFonts w:ascii="Arial" w:eastAsia="MS Mincho" w:hAnsi="Arial" w:cs="Arial"/>
          <w:b/>
          <w:sz w:val="24"/>
          <w:szCs w:val="24"/>
          <w:lang w:eastAsia="ja-JP"/>
        </w:rPr>
        <w:t>S1-230248</w:t>
      </w:r>
      <w:r w:rsidR="001341D8" w:rsidRPr="001341D8">
        <w:rPr>
          <w:rFonts w:ascii="Arial" w:eastAsia="MS Mincho" w:hAnsi="Arial" w:cs="Arial"/>
          <w:b/>
          <w:sz w:val="24"/>
          <w:szCs w:val="24"/>
          <w:lang w:eastAsia="ja-JP"/>
        </w:rPr>
        <w:tab/>
      </w:r>
    </w:p>
    <w:p w14:paraId="37928451" w14:textId="5298B6D8"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Meeting, </w:t>
      </w:r>
      <w:r w:rsidR="00B0450D">
        <w:rPr>
          <w:rFonts w:ascii="Arial" w:eastAsia="MS Mincho" w:hAnsi="Arial" w:cs="Arial"/>
          <w:b/>
          <w:sz w:val="24"/>
          <w:szCs w:val="24"/>
          <w:lang w:eastAsia="ja-JP"/>
        </w:rPr>
        <w:t>20</w:t>
      </w:r>
      <w:r w:rsidRPr="008359CD">
        <w:rPr>
          <w:rFonts w:ascii="Arial" w:eastAsia="MS Mincho" w:hAnsi="Arial" w:cs="Arial"/>
          <w:b/>
          <w:sz w:val="24"/>
          <w:szCs w:val="24"/>
          <w:lang w:eastAsia="ja-JP"/>
        </w:rPr>
        <w:t xml:space="preserve"> – 24 February 202</w:t>
      </w:r>
      <w:r w:rsidR="00B0450D">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B0450D">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A83513" w:rsidR="0009108F" w:rsidRPr="00E5654B" w:rsidRDefault="0009108F" w:rsidP="0009108F">
      <w:pPr>
        <w:spacing w:after="120"/>
        <w:ind w:left="1985" w:hanging="1985"/>
        <w:rPr>
          <w:rFonts w:ascii="Arial" w:hAnsi="Arial" w:cs="Arial"/>
          <w:b/>
          <w:bCs/>
          <w:lang w:val="de-DE"/>
        </w:rPr>
      </w:pPr>
      <w:r w:rsidRPr="00E5654B">
        <w:rPr>
          <w:rFonts w:ascii="Arial" w:hAnsi="Arial" w:cs="Arial"/>
          <w:b/>
          <w:bCs/>
          <w:lang w:val="de-DE"/>
        </w:rPr>
        <w:t>Source:</w:t>
      </w:r>
      <w:r w:rsidRPr="00E5654B">
        <w:rPr>
          <w:rFonts w:ascii="Arial" w:hAnsi="Arial" w:cs="Arial"/>
          <w:b/>
          <w:bCs/>
          <w:lang w:val="de-DE"/>
        </w:rPr>
        <w:tab/>
      </w:r>
      <w:r w:rsidR="00E5654B" w:rsidRPr="00E5654B">
        <w:rPr>
          <w:rFonts w:ascii="Arial" w:hAnsi="Arial" w:cs="Arial"/>
          <w:b/>
          <w:bCs/>
          <w:lang w:val="de-DE"/>
        </w:rPr>
        <w:t>Lenovo, CMCC, Inter</w:t>
      </w:r>
      <w:r w:rsidR="001E4301">
        <w:rPr>
          <w:rFonts w:ascii="Arial" w:hAnsi="Arial" w:cs="Arial"/>
          <w:b/>
          <w:bCs/>
          <w:lang w:val="de-DE"/>
        </w:rPr>
        <w:t>D</w:t>
      </w:r>
      <w:r w:rsidR="00E5654B" w:rsidRPr="00E5654B">
        <w:rPr>
          <w:rFonts w:ascii="Arial" w:hAnsi="Arial" w:cs="Arial"/>
          <w:b/>
          <w:bCs/>
          <w:lang w:val="de-DE"/>
        </w:rPr>
        <w:t>igital, Deutsche Telekom, Samsung</w:t>
      </w:r>
      <w:r w:rsidR="0054722D">
        <w:rPr>
          <w:rFonts w:ascii="Arial" w:hAnsi="Arial" w:cs="Arial"/>
          <w:b/>
          <w:bCs/>
          <w:lang w:val="de-DE"/>
        </w:rPr>
        <w:t>, Qualcomm</w:t>
      </w:r>
    </w:p>
    <w:p w14:paraId="4711311D" w14:textId="2162509F"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5D7FCD">
        <w:rPr>
          <w:rFonts w:ascii="Arial" w:hAnsi="Arial" w:cs="Arial"/>
          <w:b/>
          <w:bCs/>
        </w:rPr>
        <w:t xml:space="preserve">Considerations </w:t>
      </w:r>
      <w:r w:rsidR="004614DF">
        <w:rPr>
          <w:rFonts w:ascii="Arial" w:hAnsi="Arial" w:cs="Arial"/>
          <w:b/>
          <w:bCs/>
        </w:rPr>
        <w:t>for application layer service enablement</w:t>
      </w:r>
    </w:p>
    <w:p w14:paraId="7996084A" w14:textId="0CE1B705" w:rsidR="0009108F" w:rsidRDefault="005D7FCD" w:rsidP="0009108F">
      <w:pPr>
        <w:spacing w:after="120"/>
        <w:ind w:left="1985" w:hanging="1985"/>
        <w:rPr>
          <w:rFonts w:ascii="Arial" w:hAnsi="Arial" w:cs="Arial"/>
          <w:b/>
          <w:bCs/>
        </w:rPr>
      </w:pPr>
      <w:r>
        <w:rPr>
          <w:rFonts w:ascii="Arial" w:hAnsi="Arial" w:cs="Arial"/>
          <w:b/>
          <w:bCs/>
        </w:rPr>
        <w:t>Document Type</w:t>
      </w:r>
      <w:r w:rsidR="0009108F">
        <w:rPr>
          <w:rFonts w:ascii="Arial" w:hAnsi="Arial" w:cs="Arial"/>
          <w:b/>
          <w:bCs/>
        </w:rPr>
        <w:t>:</w:t>
      </w:r>
      <w:r w:rsidR="0009108F">
        <w:rPr>
          <w:rFonts w:ascii="Arial" w:hAnsi="Arial" w:cs="Arial"/>
          <w:b/>
          <w:bCs/>
        </w:rPr>
        <w:tab/>
      </w:r>
      <w:r>
        <w:rPr>
          <w:rFonts w:ascii="Arial" w:hAnsi="Arial" w:cs="Arial"/>
          <w:b/>
          <w:bCs/>
        </w:rPr>
        <w:t>Discussion</w:t>
      </w:r>
    </w:p>
    <w:p w14:paraId="0BC8E829" w14:textId="2DD5020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7FCD">
        <w:rPr>
          <w:rFonts w:ascii="Arial" w:hAnsi="Arial" w:cs="Arial"/>
          <w:b/>
          <w:bCs/>
        </w:rPr>
        <w:t>8 (Other non-technical contributions)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0AC61DF" w14:textId="77777777" w:rsidR="000B594A" w:rsidRPr="00C524DD" w:rsidRDefault="000B594A" w:rsidP="000B594A">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15CD12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26109">
        <w:rPr>
          <w:rFonts w:ascii="Arial" w:eastAsia="Calibri" w:hAnsi="Arial" w:cs="Arial"/>
          <w:i/>
          <w:sz w:val="22"/>
          <w:szCs w:val="22"/>
        </w:rPr>
        <w:t xml:space="preserve">This </w:t>
      </w:r>
      <w:r w:rsidR="00DE0231">
        <w:rPr>
          <w:rFonts w:ascii="Arial" w:eastAsia="Calibri" w:hAnsi="Arial" w:cs="Arial"/>
          <w:i/>
          <w:sz w:val="22"/>
          <w:szCs w:val="22"/>
        </w:rPr>
        <w:t>discussion paper proposes to update the scope and definitions in TS 22.261 to add service enablement layer within 5GS</w:t>
      </w:r>
      <w:r w:rsidR="00F26109">
        <w:rPr>
          <w:rFonts w:ascii="Arial" w:eastAsia="Calibri" w:hAnsi="Arial" w:cs="Arial"/>
          <w:i/>
          <w:sz w:val="22"/>
          <w:szCs w:val="22"/>
        </w:rPr>
        <w:t>.</w:t>
      </w:r>
    </w:p>
    <w:p w14:paraId="28CC9352" w14:textId="57528003" w:rsidR="0009108F" w:rsidRPr="0009108F" w:rsidRDefault="0009108F" w:rsidP="0009108F">
      <w:pPr>
        <w:pStyle w:val="CRCoverPage"/>
        <w:rPr>
          <w:b/>
          <w:noProof/>
        </w:rPr>
      </w:pPr>
      <w:r w:rsidRPr="00C524DD">
        <w:rPr>
          <w:b/>
          <w:noProof/>
        </w:rPr>
        <w:t>1</w:t>
      </w:r>
      <w:r w:rsidRPr="0009108F">
        <w:rPr>
          <w:b/>
          <w:noProof/>
        </w:rPr>
        <w:t>. Introduction</w:t>
      </w:r>
      <w:r w:rsidR="00850BB6">
        <w:rPr>
          <w:b/>
          <w:noProof/>
        </w:rPr>
        <w:t xml:space="preserve"> and discussion</w:t>
      </w:r>
    </w:p>
    <w:bookmarkEnd w:id="0"/>
    <w:p w14:paraId="2C683AE4" w14:textId="75863419" w:rsidR="009B6367" w:rsidRDefault="009B7565" w:rsidP="00D27C43">
      <w:pPr>
        <w:rPr>
          <w:noProof/>
        </w:rPr>
      </w:pPr>
      <w:r>
        <w:rPr>
          <w:noProof/>
        </w:rPr>
        <w:t xml:space="preserve">SA6 </w:t>
      </w:r>
      <w:r w:rsidR="000D0F70">
        <w:rPr>
          <w:noProof/>
        </w:rPr>
        <w:t xml:space="preserve">has provided the </w:t>
      </w:r>
      <w:r w:rsidR="000D0F70" w:rsidRPr="009334F1">
        <w:rPr>
          <w:color w:val="000000"/>
        </w:rPr>
        <w:t>application layer architecture specifications for verticals, including architecture requirements and functional architecture for supporting the integration of verticals to 3GPP systems</w:t>
      </w:r>
      <w:r w:rsidR="000D0F70">
        <w:rPr>
          <w:color w:val="000000"/>
        </w:rPr>
        <w:t xml:space="preserve">. As part of SA6 work, the </w:t>
      </w:r>
      <w:r>
        <w:rPr>
          <w:noProof/>
        </w:rPr>
        <w:t xml:space="preserve">application </w:t>
      </w:r>
      <w:r w:rsidR="000D0F70">
        <w:rPr>
          <w:noProof/>
        </w:rPr>
        <w:t>enablement layer includes</w:t>
      </w:r>
      <w:r>
        <w:rPr>
          <w:noProof/>
        </w:rPr>
        <w:t xml:space="preserve"> </w:t>
      </w:r>
      <w:r w:rsidR="00E77C04">
        <w:rPr>
          <w:noProof/>
        </w:rPr>
        <w:t>vertical specific service enablers (e.g. V2XAPP, UASAPP, FFAPP) as well as common service platforms and edge enablement</w:t>
      </w:r>
      <w:r w:rsidR="000D0F70">
        <w:rPr>
          <w:noProof/>
        </w:rPr>
        <w:t xml:space="preserve"> frameworks</w:t>
      </w:r>
      <w:r w:rsidR="00E77C04">
        <w:rPr>
          <w:noProof/>
        </w:rPr>
        <w:t xml:space="preserve">. Such enablement layer </w:t>
      </w:r>
      <w:r w:rsidR="000D0F70">
        <w:rPr>
          <w:noProof/>
        </w:rPr>
        <w:t xml:space="preserve">sits on top of the 3GPP network and </w:t>
      </w:r>
      <w:r w:rsidR="00E77C04">
        <w:rPr>
          <w:noProof/>
        </w:rPr>
        <w:t xml:space="preserve">aims to support the exposure of network services as well as to provide value-added capabilities related to discovery, service continuity, application portability etc. </w:t>
      </w:r>
    </w:p>
    <w:p w14:paraId="27352A2A" w14:textId="104305E9" w:rsidR="000C37A0" w:rsidRDefault="004D4FC8" w:rsidP="00E77C04">
      <w:pPr>
        <w:jc w:val="both"/>
        <w:rPr>
          <w:noProof/>
        </w:rPr>
      </w:pPr>
      <w:r w:rsidRPr="004D4FC8">
        <w:rPr>
          <w:noProof/>
        </w:rPr>
        <w:t>S1-220085</w:t>
      </w:r>
      <w:r>
        <w:rPr>
          <w:noProof/>
        </w:rPr>
        <w:t xml:space="preserve"> provided a discussion paper indicating that </w:t>
      </w:r>
      <w:r w:rsidR="00544C14">
        <w:rPr>
          <w:noProof/>
        </w:rPr>
        <w:t xml:space="preserve">SA1 has not explicitly </w:t>
      </w:r>
      <w:r>
        <w:rPr>
          <w:noProof/>
        </w:rPr>
        <w:t>defined</w:t>
      </w:r>
      <w:r w:rsidR="00544C14">
        <w:rPr>
          <w:noProof/>
        </w:rPr>
        <w:t xml:space="preserve"> requirements for application layer interfaces for service enablers. It is therefore open to interpretation whether any requirement in a SA1 specification that indicates an exposure of functionality or information to third parties is supported </w:t>
      </w:r>
      <w:r w:rsidR="00544C14" w:rsidRPr="00E00298">
        <w:rPr>
          <w:noProof/>
        </w:rPr>
        <w:t>by the network (through network exposure) or by an application framework (through application exposure.)</w:t>
      </w:r>
      <w:r w:rsidR="00E77C04">
        <w:rPr>
          <w:noProof/>
        </w:rPr>
        <w:t xml:space="preserve">. </w:t>
      </w:r>
      <w:r w:rsidR="00544C14">
        <w:rPr>
          <w:noProof/>
        </w:rPr>
        <w:t xml:space="preserve">This problem was noted in </w:t>
      </w:r>
      <w:r w:rsidR="00D27C43">
        <w:rPr>
          <w:noProof/>
        </w:rPr>
        <w:t xml:space="preserve">SA 94 in </w:t>
      </w:r>
      <w:hyperlink r:id="rId9" w:history="1">
        <w:r w:rsidR="00D27C43" w:rsidRPr="00F26109">
          <w:rPr>
            <w:rStyle w:val="Hyperlink"/>
            <w:noProof/>
          </w:rPr>
          <w:t>SP-211563</w:t>
        </w:r>
      </w:hyperlink>
      <w:r w:rsidR="00D27C43">
        <w:rPr>
          <w:noProof/>
        </w:rPr>
        <w:t xml:space="preserve"> “</w:t>
      </w:r>
      <w:r w:rsidR="00D27C43" w:rsidRPr="00F26109">
        <w:rPr>
          <w:noProof/>
        </w:rPr>
        <w:t>Considerations on application-enablement requirements</w:t>
      </w:r>
      <w:r w:rsidR="00D27C43">
        <w:rPr>
          <w:noProof/>
        </w:rPr>
        <w:t>”</w:t>
      </w:r>
      <w:r w:rsidR="00544C14">
        <w:rPr>
          <w:noProof/>
        </w:rPr>
        <w:t>. In particular, it was noted that some proposals for work in SA6 lack corresponding explicit requirements in SA1. This contribution proposed that SA clarify the split of responsibilities between WGs: who is responsible for defining stage 1 for application-layer service enablers?</w:t>
      </w:r>
    </w:p>
    <w:p w14:paraId="1294E158" w14:textId="00C907A4" w:rsidR="00A45CD1" w:rsidRDefault="00E77C04" w:rsidP="00A45CD1">
      <w:pPr>
        <w:jc w:val="both"/>
        <w:rPr>
          <w:noProof/>
        </w:rPr>
      </w:pPr>
      <w:r>
        <w:rPr>
          <w:noProof/>
        </w:rPr>
        <w:t xml:space="preserve">One source of misunderstanding is the fact that </w:t>
      </w:r>
      <w:r w:rsidR="000D0F70">
        <w:rPr>
          <w:noProof/>
        </w:rPr>
        <w:t xml:space="preserve">the enablement layer is usually seen as an entity (e.g. AF/AS) outside 5GS; and at the same time SA1 may not cover use cases requirements for parts outside 3GPP. </w:t>
      </w:r>
      <w:r w:rsidR="00DE0231">
        <w:rPr>
          <w:noProof/>
        </w:rPr>
        <w:t>So, even if SA6 ToR mentions that SA1 requirements are to be supported, the Stage 1 requirements</w:t>
      </w:r>
      <w:r w:rsidR="000B594A">
        <w:rPr>
          <w:noProof/>
        </w:rPr>
        <w:t xml:space="preserve"> (as provided in TS 22.261)</w:t>
      </w:r>
      <w:r w:rsidR="00DE0231">
        <w:rPr>
          <w:noProof/>
        </w:rPr>
        <w:t xml:space="preserve">, do not cover </w:t>
      </w:r>
      <w:r w:rsidR="00CC2111">
        <w:rPr>
          <w:noProof/>
        </w:rPr>
        <w:t>service enabler layer</w:t>
      </w:r>
      <w:r w:rsidR="00DE0231">
        <w:rPr>
          <w:noProof/>
        </w:rPr>
        <w:t xml:space="preserve">. </w:t>
      </w:r>
      <w:r w:rsidR="000D0F70">
        <w:rPr>
          <w:noProof/>
        </w:rPr>
        <w:t>H</w:t>
      </w:r>
      <w:r w:rsidR="00C542BB">
        <w:rPr>
          <w:noProof/>
        </w:rPr>
        <w:t xml:space="preserve">owever, this </w:t>
      </w:r>
      <w:r w:rsidR="00DE0231">
        <w:rPr>
          <w:noProof/>
        </w:rPr>
        <w:t>interpretation is not correct, since enablement layer is part of the 3GPP system; however not part of the 3GPP network.</w:t>
      </w:r>
      <w:r w:rsidR="00A45CD1" w:rsidRPr="00A45CD1">
        <w:rPr>
          <w:noProof/>
        </w:rPr>
        <w:t xml:space="preserve"> </w:t>
      </w:r>
    </w:p>
    <w:p w14:paraId="3B36C026" w14:textId="095D31A1" w:rsidR="003F40B2" w:rsidRPr="003F40B2" w:rsidRDefault="003F40B2" w:rsidP="00A45CD1">
      <w:pPr>
        <w:jc w:val="both"/>
        <w:rPr>
          <w:noProof/>
          <w:lang w:val="en-US"/>
        </w:rPr>
      </w:pPr>
      <w:r w:rsidRPr="003F40B2">
        <w:rPr>
          <w:noProof/>
        </w:rPr>
        <w:t>Services today are defined at the application layer, that is with APIs. The exposure is done by several groups now (SA2, SA4, SA5, SA6, CT3). The functional requirements of these interfaces have to be in scope of SA1 otherwise stage 2 and stage 3 groups will have no functional requirements from which to work and will have to perform their own stage 1 at the service level. This will result in fragmentation of the service requirements for the 5GS</w:t>
      </w:r>
      <w:r>
        <w:rPr>
          <w:noProof/>
        </w:rPr>
        <w:t>.</w:t>
      </w:r>
    </w:p>
    <w:p w14:paraId="1CB17278" w14:textId="26D9A418" w:rsidR="00A45CD1" w:rsidRDefault="00A45CD1" w:rsidP="00A45CD1">
      <w:pPr>
        <w:jc w:val="both"/>
        <w:rPr>
          <w:noProof/>
        </w:rPr>
      </w:pPr>
      <w:r>
        <w:rPr>
          <w:noProof/>
        </w:rPr>
        <w:t>As shown in Figure</w:t>
      </w:r>
      <w:r w:rsidR="006E67F9">
        <w:rPr>
          <w:noProof/>
        </w:rPr>
        <w:t xml:space="preserve"> 1</w:t>
      </w:r>
      <w:r>
        <w:rPr>
          <w:noProof/>
        </w:rPr>
        <w:t xml:space="preserve"> below:</w:t>
      </w:r>
    </w:p>
    <w:p w14:paraId="5E81316B" w14:textId="77777777" w:rsidR="00A45CD1" w:rsidRDefault="00A45CD1" w:rsidP="00A45CD1">
      <w:pPr>
        <w:jc w:val="both"/>
        <w:rPr>
          <w:noProof/>
        </w:rPr>
      </w:pPr>
      <w:r>
        <w:rPr>
          <w:noProof/>
        </w:rPr>
        <w:t>- 5G network includes NG-RAN ad 5GC,</w:t>
      </w:r>
    </w:p>
    <w:p w14:paraId="1D51CF2F" w14:textId="58899830" w:rsidR="00A45CD1" w:rsidRDefault="00A45CD1" w:rsidP="00A45CD1">
      <w:pPr>
        <w:jc w:val="both"/>
        <w:rPr>
          <w:noProof/>
        </w:rPr>
      </w:pPr>
      <w:r>
        <w:rPr>
          <w:noProof/>
        </w:rPr>
        <w:t xml:space="preserve">- 5G system includes UE, NG-RAN ad 5GC, </w:t>
      </w:r>
      <w:r w:rsidR="003F40B2">
        <w:rPr>
          <w:noProof/>
        </w:rPr>
        <w:t>Application Service</w:t>
      </w:r>
      <w:r>
        <w:rPr>
          <w:noProof/>
        </w:rPr>
        <w:t xml:space="preserve"> Enablement layer and OAM.</w:t>
      </w:r>
    </w:p>
    <w:p w14:paraId="74C90F75" w14:textId="77777777" w:rsidR="000B594A" w:rsidRDefault="00A45CD1" w:rsidP="000B594A">
      <w:pPr>
        <w:keepNext/>
        <w:jc w:val="both"/>
      </w:pPr>
      <w:r>
        <w:object w:dxaOrig="14041" w:dyaOrig="3540" w14:anchorId="73E7D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1.5pt" o:ole="">
            <v:imagedata r:id="rId10" o:title=""/>
          </v:shape>
          <o:OLEObject Type="Embed" ProgID="Visio.Drawing.15" ShapeID="_x0000_i1025" DrawAspect="Content" ObjectID="_1737565701" r:id="rId11"/>
        </w:object>
      </w:r>
    </w:p>
    <w:p w14:paraId="4D53F742" w14:textId="6F7227BC" w:rsidR="00E77C04" w:rsidRDefault="000B594A" w:rsidP="000B594A">
      <w:pPr>
        <w:pStyle w:val="Caption"/>
        <w:jc w:val="center"/>
        <w:rPr>
          <w:noProof/>
        </w:rPr>
      </w:pPr>
      <w:r>
        <w:t xml:space="preserve">Figure </w:t>
      </w:r>
      <w:fldSimple w:instr=" SEQ Figure \* ARABIC ">
        <w:r>
          <w:rPr>
            <w:noProof/>
          </w:rPr>
          <w:t>1</w:t>
        </w:r>
      </w:fldSimple>
      <w:r>
        <w:t xml:space="preserve"> Illustration of the </w:t>
      </w:r>
      <w:r w:rsidR="003F40B2">
        <w:t>end-to-end</w:t>
      </w:r>
      <w:r>
        <w:t xml:space="preserve"> system consisting Service Enabler</w:t>
      </w:r>
    </w:p>
    <w:p w14:paraId="4A0982E3" w14:textId="782D9B5C" w:rsidR="00A45CD1" w:rsidRDefault="00A45CD1" w:rsidP="00E77C04">
      <w:pPr>
        <w:jc w:val="both"/>
        <w:rPr>
          <w:noProof/>
        </w:rPr>
      </w:pPr>
      <w:r>
        <w:rPr>
          <w:noProof/>
        </w:rPr>
        <w:lastRenderedPageBreak/>
        <w:t>In TS 22.261, the</w:t>
      </w:r>
      <w:r w:rsidR="000B594A">
        <w:rPr>
          <w:noProof/>
        </w:rPr>
        <w:t xml:space="preserve"> only</w:t>
      </w:r>
      <w:r>
        <w:rPr>
          <w:noProof/>
        </w:rPr>
        <w:t xml:space="preserve"> reference to service enablement is provided only w.r.t Service Enablement and Exposure Support (SEES) in clause 6.10 (network capability exposure use case). SEES has been introduced in TR 22.853 as part of Release 13</w:t>
      </w:r>
      <w:r w:rsidR="000B594A">
        <w:rPr>
          <w:noProof/>
        </w:rPr>
        <w:t>;</w:t>
      </w:r>
      <w:r>
        <w:rPr>
          <w:noProof/>
        </w:rPr>
        <w:t xml:space="preserve"> and even if it seems to target IoT use cases</w:t>
      </w:r>
      <w:r w:rsidR="000B594A">
        <w:rPr>
          <w:noProof/>
        </w:rPr>
        <w:t xml:space="preserve"> and not the vertical enablement which is discussed in SA6</w:t>
      </w:r>
      <w:r>
        <w:rPr>
          <w:noProof/>
        </w:rPr>
        <w:t xml:space="preserve">, concept-wise SEES </w:t>
      </w:r>
      <w:r w:rsidR="000B594A">
        <w:rPr>
          <w:noProof/>
        </w:rPr>
        <w:t xml:space="preserve">seems to fit Application Service Enablement definition. </w:t>
      </w:r>
    </w:p>
    <w:p w14:paraId="76466C0C" w14:textId="08AE0153" w:rsidR="00E77C04" w:rsidRDefault="00E77C04" w:rsidP="00E77C04">
      <w:pPr>
        <w:jc w:val="both"/>
        <w:rPr>
          <w:noProof/>
        </w:rPr>
      </w:pPr>
      <w:r>
        <w:rPr>
          <w:noProof/>
        </w:rPr>
        <w:t xml:space="preserve">As a way to alleviate this issue, this paper proposes </w:t>
      </w:r>
      <w:r w:rsidR="000B594A">
        <w:rPr>
          <w:noProof/>
        </w:rPr>
        <w:t>to update the scope to add</w:t>
      </w:r>
      <w:r w:rsidR="00DE0231">
        <w:rPr>
          <w:noProof/>
        </w:rPr>
        <w:t xml:space="preserve"> </w:t>
      </w:r>
      <w:r w:rsidR="00A45CD1">
        <w:rPr>
          <w:noProof/>
        </w:rPr>
        <w:t>service enablement and exposure</w:t>
      </w:r>
      <w:r w:rsidR="000B594A">
        <w:rPr>
          <w:noProof/>
        </w:rPr>
        <w:t xml:space="preserve"> support</w:t>
      </w:r>
      <w:r w:rsidR="00A45CD1">
        <w:rPr>
          <w:noProof/>
        </w:rPr>
        <w:t xml:space="preserve"> framework</w:t>
      </w:r>
      <w:r w:rsidR="00DE0231">
        <w:rPr>
          <w:noProof/>
        </w:rPr>
        <w:t xml:space="preserve"> as part of 5GS, in TS 22.261.</w:t>
      </w:r>
    </w:p>
    <w:p w14:paraId="6C677FD9" w14:textId="77777777" w:rsidR="003F40B2" w:rsidRDefault="000B594A" w:rsidP="00E77C04">
      <w:pPr>
        <w:jc w:val="both"/>
        <w:rPr>
          <w:noProof/>
        </w:rPr>
      </w:pPr>
      <w:r>
        <w:rPr>
          <w:noProof/>
        </w:rPr>
        <w:t>Here, to note that such addition does n</w:t>
      </w:r>
      <w:r w:rsidRPr="000B594A">
        <w:rPr>
          <w:noProof/>
        </w:rPr>
        <w:t xml:space="preserve">ot constrain the </w:t>
      </w:r>
      <w:r>
        <w:rPr>
          <w:noProof/>
        </w:rPr>
        <w:t>Stage 2 WGs</w:t>
      </w:r>
      <w:r w:rsidRPr="000B594A">
        <w:rPr>
          <w:noProof/>
        </w:rPr>
        <w:t xml:space="preserve"> where this is developed</w:t>
      </w:r>
      <w:r w:rsidR="003F40B2">
        <w:rPr>
          <w:noProof/>
        </w:rPr>
        <w:t xml:space="preserve">, and doesn’t aim to steer Stage 1 requirements towards specific Stage 2 WGs; </w:t>
      </w:r>
    </w:p>
    <w:p w14:paraId="0491F502" w14:textId="52D523DB" w:rsidR="0009108F" w:rsidRPr="0009108F" w:rsidRDefault="00DE0231" w:rsidP="0009108F">
      <w:pPr>
        <w:pStyle w:val="CRCoverPage"/>
        <w:rPr>
          <w:b/>
          <w:noProof/>
        </w:rPr>
      </w:pPr>
      <w:r>
        <w:rPr>
          <w:b/>
          <w:noProof/>
        </w:rPr>
        <w:t>2</w:t>
      </w:r>
      <w:r w:rsidR="0009108F" w:rsidRPr="0009108F">
        <w:rPr>
          <w:b/>
          <w:noProof/>
        </w:rPr>
        <w:t>. Proposal</w:t>
      </w:r>
    </w:p>
    <w:p w14:paraId="2E397B61" w14:textId="045EF2DC" w:rsidR="00692133" w:rsidRPr="0009108F" w:rsidRDefault="00B743EF" w:rsidP="0009108F">
      <w:pPr>
        <w:rPr>
          <w:lang w:val="en-US"/>
        </w:rPr>
      </w:pPr>
      <w:r>
        <w:rPr>
          <w:noProof/>
        </w:rPr>
        <w:t xml:space="preserve">It is proposed </w:t>
      </w:r>
      <w:r w:rsidR="006E67F9">
        <w:rPr>
          <w:noProof/>
        </w:rPr>
        <w:t xml:space="preserve">that </w:t>
      </w:r>
      <w:r>
        <w:rPr>
          <w:noProof/>
        </w:rPr>
        <w:t xml:space="preserve">SA1 </w:t>
      </w:r>
      <w:r w:rsidR="00DE0231">
        <w:rPr>
          <w:noProof/>
        </w:rPr>
        <w:t>agree on updating the scope</w:t>
      </w:r>
      <w:r w:rsidR="000B594A">
        <w:rPr>
          <w:noProof/>
        </w:rPr>
        <w:t xml:space="preserve"> and definitions in TS 22.261</w:t>
      </w:r>
      <w:r w:rsidR="00DE0231">
        <w:rPr>
          <w:noProof/>
        </w:rPr>
        <w:t xml:space="preserve">, to include </w:t>
      </w:r>
      <w:r w:rsidR="000B594A">
        <w:rPr>
          <w:noProof/>
        </w:rPr>
        <w:t>service enablement and exposure framework</w:t>
      </w:r>
      <w:r w:rsidR="00DE0231">
        <w:rPr>
          <w:noProof/>
        </w:rPr>
        <w:t xml:space="preserve"> </w:t>
      </w:r>
      <w:r w:rsidR="006E67F9" w:rsidRPr="006E67F9">
        <w:rPr>
          <w:noProof/>
        </w:rPr>
        <w:t xml:space="preserve">in order to clairify the </w:t>
      </w:r>
      <w:r w:rsidR="00CC2111">
        <w:rPr>
          <w:noProof/>
        </w:rPr>
        <w:t xml:space="preserve">Stage 1 requirements </w:t>
      </w:r>
      <w:r w:rsidR="000B594A" w:rsidRPr="000B594A">
        <w:rPr>
          <w:noProof/>
        </w:rPr>
        <w:t>related to 5GS API exposure and service enablement</w:t>
      </w:r>
      <w:r w:rsidR="006E67F9">
        <w:rPr>
          <w:noProof/>
        </w:rPr>
        <w:t xml:space="preserve"> </w:t>
      </w:r>
      <w:r w:rsidR="006E67F9" w:rsidRPr="006E67F9">
        <w:rPr>
          <w:noProof/>
        </w:rPr>
        <w:t>that is used by SA6</w:t>
      </w:r>
      <w:r w:rsidR="000B594A" w:rsidRPr="000B594A">
        <w:rPr>
          <w:noProof/>
        </w:rPr>
        <w:t>.  The proposal is included in S1-23</w:t>
      </w:r>
      <w:r w:rsidR="0054722D">
        <w:rPr>
          <w:noProof/>
        </w:rPr>
        <w:t>0252</w:t>
      </w:r>
      <w:r w:rsidR="000B594A" w:rsidRPr="000B594A">
        <w:rPr>
          <w:noProof/>
        </w:rPr>
        <w:t>.</w:t>
      </w:r>
    </w:p>
    <w:sectPr w:rsidR="00692133"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0EBD" w14:textId="77777777" w:rsidR="007A24A0" w:rsidRDefault="007A24A0">
      <w:r>
        <w:separator/>
      </w:r>
    </w:p>
  </w:endnote>
  <w:endnote w:type="continuationSeparator" w:id="0">
    <w:p w14:paraId="04DA871C" w14:textId="77777777" w:rsidR="007A24A0" w:rsidRDefault="007A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6B6E" w14:textId="77777777" w:rsidR="007A24A0" w:rsidRDefault="007A24A0">
      <w:r>
        <w:separator/>
      </w:r>
    </w:p>
  </w:footnote>
  <w:footnote w:type="continuationSeparator" w:id="0">
    <w:p w14:paraId="325981DC" w14:textId="77777777" w:rsidR="007A24A0" w:rsidRDefault="007A2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F41D09"/>
    <w:multiLevelType w:val="hybridMultilevel"/>
    <w:tmpl w:val="CE2E6B8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C0FD5"/>
    <w:multiLevelType w:val="hybridMultilevel"/>
    <w:tmpl w:val="DEC02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7F68C4"/>
    <w:multiLevelType w:val="hybridMultilevel"/>
    <w:tmpl w:val="3A58D218"/>
    <w:lvl w:ilvl="0" w:tplc="DEA89428">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1789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32394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6565241">
    <w:abstractNumId w:val="1"/>
  </w:num>
  <w:num w:numId="4" w16cid:durableId="2018651047">
    <w:abstractNumId w:val="4"/>
  </w:num>
  <w:num w:numId="5" w16cid:durableId="13038456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987783">
    <w:abstractNumId w:val="5"/>
  </w:num>
  <w:num w:numId="7" w16cid:durableId="1221330868">
    <w:abstractNumId w:val="2"/>
  </w:num>
  <w:num w:numId="8" w16cid:durableId="10336502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CC"/>
    <w:rsid w:val="0001405C"/>
    <w:rsid w:val="000270CE"/>
    <w:rsid w:val="00033397"/>
    <w:rsid w:val="00040095"/>
    <w:rsid w:val="00051834"/>
    <w:rsid w:val="00054A22"/>
    <w:rsid w:val="00057590"/>
    <w:rsid w:val="00062023"/>
    <w:rsid w:val="000655A6"/>
    <w:rsid w:val="00066B6F"/>
    <w:rsid w:val="00080512"/>
    <w:rsid w:val="0009108F"/>
    <w:rsid w:val="000B18F5"/>
    <w:rsid w:val="000B594A"/>
    <w:rsid w:val="000C37A0"/>
    <w:rsid w:val="000C47C3"/>
    <w:rsid w:val="000D0877"/>
    <w:rsid w:val="000D0B4A"/>
    <w:rsid w:val="000D0F70"/>
    <w:rsid w:val="000D58AB"/>
    <w:rsid w:val="000F4706"/>
    <w:rsid w:val="00112A03"/>
    <w:rsid w:val="00133525"/>
    <w:rsid w:val="001341D8"/>
    <w:rsid w:val="00161ACC"/>
    <w:rsid w:val="0017164B"/>
    <w:rsid w:val="00192C26"/>
    <w:rsid w:val="001A4C42"/>
    <w:rsid w:val="001A7420"/>
    <w:rsid w:val="001B6637"/>
    <w:rsid w:val="001B7EBF"/>
    <w:rsid w:val="001C21C3"/>
    <w:rsid w:val="001D02C2"/>
    <w:rsid w:val="001E4301"/>
    <w:rsid w:val="001F0C1D"/>
    <w:rsid w:val="001F1132"/>
    <w:rsid w:val="001F168B"/>
    <w:rsid w:val="00211A5E"/>
    <w:rsid w:val="002347A2"/>
    <w:rsid w:val="00243015"/>
    <w:rsid w:val="00245C39"/>
    <w:rsid w:val="002675F0"/>
    <w:rsid w:val="002760EE"/>
    <w:rsid w:val="002B6339"/>
    <w:rsid w:val="002E00EE"/>
    <w:rsid w:val="00306FD4"/>
    <w:rsid w:val="003172DC"/>
    <w:rsid w:val="00330FCF"/>
    <w:rsid w:val="00335F03"/>
    <w:rsid w:val="0035462D"/>
    <w:rsid w:val="00356555"/>
    <w:rsid w:val="003765B8"/>
    <w:rsid w:val="003C3971"/>
    <w:rsid w:val="003C5312"/>
    <w:rsid w:val="003F40B2"/>
    <w:rsid w:val="00410E59"/>
    <w:rsid w:val="00423334"/>
    <w:rsid w:val="004345EC"/>
    <w:rsid w:val="004614DF"/>
    <w:rsid w:val="00465515"/>
    <w:rsid w:val="00470E11"/>
    <w:rsid w:val="00482B61"/>
    <w:rsid w:val="00484341"/>
    <w:rsid w:val="00490A15"/>
    <w:rsid w:val="00492BBC"/>
    <w:rsid w:val="004940F4"/>
    <w:rsid w:val="0049751D"/>
    <w:rsid w:val="004B147D"/>
    <w:rsid w:val="004C30AC"/>
    <w:rsid w:val="004D3578"/>
    <w:rsid w:val="004D4FC8"/>
    <w:rsid w:val="004E213A"/>
    <w:rsid w:val="004F0988"/>
    <w:rsid w:val="004F3340"/>
    <w:rsid w:val="00514426"/>
    <w:rsid w:val="0053388B"/>
    <w:rsid w:val="00535773"/>
    <w:rsid w:val="00543E6C"/>
    <w:rsid w:val="00544C14"/>
    <w:rsid w:val="0054722D"/>
    <w:rsid w:val="0055155B"/>
    <w:rsid w:val="00553AE8"/>
    <w:rsid w:val="00565087"/>
    <w:rsid w:val="005735B3"/>
    <w:rsid w:val="00597B11"/>
    <w:rsid w:val="005B3101"/>
    <w:rsid w:val="005C3685"/>
    <w:rsid w:val="005D2E01"/>
    <w:rsid w:val="005D7526"/>
    <w:rsid w:val="005D7FCD"/>
    <w:rsid w:val="005E4BB2"/>
    <w:rsid w:val="005F788A"/>
    <w:rsid w:val="00602AEA"/>
    <w:rsid w:val="00614FDF"/>
    <w:rsid w:val="00633720"/>
    <w:rsid w:val="0063543D"/>
    <w:rsid w:val="00647114"/>
    <w:rsid w:val="006566E8"/>
    <w:rsid w:val="00670D7E"/>
    <w:rsid w:val="00672E83"/>
    <w:rsid w:val="006912E9"/>
    <w:rsid w:val="00692133"/>
    <w:rsid w:val="00692C21"/>
    <w:rsid w:val="006A323F"/>
    <w:rsid w:val="006B30D0"/>
    <w:rsid w:val="006C3D95"/>
    <w:rsid w:val="006E5637"/>
    <w:rsid w:val="006E5C86"/>
    <w:rsid w:val="006E67F9"/>
    <w:rsid w:val="006F2A36"/>
    <w:rsid w:val="00701116"/>
    <w:rsid w:val="0071174C"/>
    <w:rsid w:val="00712EDA"/>
    <w:rsid w:val="00713C44"/>
    <w:rsid w:val="00733C27"/>
    <w:rsid w:val="00734A5B"/>
    <w:rsid w:val="007367DF"/>
    <w:rsid w:val="0074026F"/>
    <w:rsid w:val="007429F6"/>
    <w:rsid w:val="00744E76"/>
    <w:rsid w:val="00764FDA"/>
    <w:rsid w:val="00765EA3"/>
    <w:rsid w:val="00774DA4"/>
    <w:rsid w:val="00774FEC"/>
    <w:rsid w:val="00781F0F"/>
    <w:rsid w:val="007A24A0"/>
    <w:rsid w:val="007B39A5"/>
    <w:rsid w:val="007B600E"/>
    <w:rsid w:val="007E4677"/>
    <w:rsid w:val="007F0F4A"/>
    <w:rsid w:val="008028A4"/>
    <w:rsid w:val="008243DF"/>
    <w:rsid w:val="00830747"/>
    <w:rsid w:val="008359CD"/>
    <w:rsid w:val="0084667C"/>
    <w:rsid w:val="00850BB6"/>
    <w:rsid w:val="00856132"/>
    <w:rsid w:val="008768CA"/>
    <w:rsid w:val="008C384C"/>
    <w:rsid w:val="008C5F6C"/>
    <w:rsid w:val="008D0499"/>
    <w:rsid w:val="008D05CF"/>
    <w:rsid w:val="008D63B4"/>
    <w:rsid w:val="008E2D68"/>
    <w:rsid w:val="008E6756"/>
    <w:rsid w:val="008F1E39"/>
    <w:rsid w:val="008F6FE8"/>
    <w:rsid w:val="0090271F"/>
    <w:rsid w:val="00902E23"/>
    <w:rsid w:val="00904AE8"/>
    <w:rsid w:val="009114D7"/>
    <w:rsid w:val="0091348E"/>
    <w:rsid w:val="00914904"/>
    <w:rsid w:val="00917CCB"/>
    <w:rsid w:val="00920836"/>
    <w:rsid w:val="00927B16"/>
    <w:rsid w:val="00933FB0"/>
    <w:rsid w:val="00942EC2"/>
    <w:rsid w:val="00991075"/>
    <w:rsid w:val="009A3E74"/>
    <w:rsid w:val="009B6367"/>
    <w:rsid w:val="009B7565"/>
    <w:rsid w:val="009D017A"/>
    <w:rsid w:val="009F37B7"/>
    <w:rsid w:val="00A10F02"/>
    <w:rsid w:val="00A164B4"/>
    <w:rsid w:val="00A26956"/>
    <w:rsid w:val="00A27486"/>
    <w:rsid w:val="00A45CD1"/>
    <w:rsid w:val="00A53724"/>
    <w:rsid w:val="00A555C0"/>
    <w:rsid w:val="00A55961"/>
    <w:rsid w:val="00A56066"/>
    <w:rsid w:val="00A61C43"/>
    <w:rsid w:val="00A73129"/>
    <w:rsid w:val="00A807BB"/>
    <w:rsid w:val="00A82346"/>
    <w:rsid w:val="00A92BA1"/>
    <w:rsid w:val="00A95A32"/>
    <w:rsid w:val="00AA11D1"/>
    <w:rsid w:val="00AB4A5D"/>
    <w:rsid w:val="00AC6BC6"/>
    <w:rsid w:val="00AC7735"/>
    <w:rsid w:val="00AE65E2"/>
    <w:rsid w:val="00AF1460"/>
    <w:rsid w:val="00AF1B31"/>
    <w:rsid w:val="00B0450D"/>
    <w:rsid w:val="00B15449"/>
    <w:rsid w:val="00B27A59"/>
    <w:rsid w:val="00B50D0E"/>
    <w:rsid w:val="00B743EF"/>
    <w:rsid w:val="00B80469"/>
    <w:rsid w:val="00B93086"/>
    <w:rsid w:val="00B95446"/>
    <w:rsid w:val="00BA19ED"/>
    <w:rsid w:val="00BA4B8D"/>
    <w:rsid w:val="00BC0F7D"/>
    <w:rsid w:val="00BD7C6A"/>
    <w:rsid w:val="00BD7D31"/>
    <w:rsid w:val="00BE3255"/>
    <w:rsid w:val="00BE7BF9"/>
    <w:rsid w:val="00BF128E"/>
    <w:rsid w:val="00C074DD"/>
    <w:rsid w:val="00C1496A"/>
    <w:rsid w:val="00C32482"/>
    <w:rsid w:val="00C33079"/>
    <w:rsid w:val="00C45231"/>
    <w:rsid w:val="00C45981"/>
    <w:rsid w:val="00C542BB"/>
    <w:rsid w:val="00C551FF"/>
    <w:rsid w:val="00C72833"/>
    <w:rsid w:val="00C77079"/>
    <w:rsid w:val="00C80F1D"/>
    <w:rsid w:val="00C91962"/>
    <w:rsid w:val="00C93F40"/>
    <w:rsid w:val="00CA3D0C"/>
    <w:rsid w:val="00CA5FFF"/>
    <w:rsid w:val="00CC2111"/>
    <w:rsid w:val="00CF4969"/>
    <w:rsid w:val="00CF4D18"/>
    <w:rsid w:val="00CF54BB"/>
    <w:rsid w:val="00D17670"/>
    <w:rsid w:val="00D27C43"/>
    <w:rsid w:val="00D57972"/>
    <w:rsid w:val="00D675A9"/>
    <w:rsid w:val="00D738D6"/>
    <w:rsid w:val="00D755EB"/>
    <w:rsid w:val="00D76048"/>
    <w:rsid w:val="00D82100"/>
    <w:rsid w:val="00D82E6F"/>
    <w:rsid w:val="00D87E00"/>
    <w:rsid w:val="00D9134D"/>
    <w:rsid w:val="00DA7A03"/>
    <w:rsid w:val="00DB1818"/>
    <w:rsid w:val="00DC309B"/>
    <w:rsid w:val="00DC4DA2"/>
    <w:rsid w:val="00DD4C17"/>
    <w:rsid w:val="00DD74A5"/>
    <w:rsid w:val="00DE0231"/>
    <w:rsid w:val="00DE40FE"/>
    <w:rsid w:val="00DF2B1F"/>
    <w:rsid w:val="00DF62CD"/>
    <w:rsid w:val="00E00298"/>
    <w:rsid w:val="00E048B1"/>
    <w:rsid w:val="00E062D7"/>
    <w:rsid w:val="00E16509"/>
    <w:rsid w:val="00E44582"/>
    <w:rsid w:val="00E5654B"/>
    <w:rsid w:val="00E6206F"/>
    <w:rsid w:val="00E77645"/>
    <w:rsid w:val="00E77C04"/>
    <w:rsid w:val="00EA15B0"/>
    <w:rsid w:val="00EA5EA7"/>
    <w:rsid w:val="00EC4A25"/>
    <w:rsid w:val="00EC6F54"/>
    <w:rsid w:val="00EF608C"/>
    <w:rsid w:val="00F025A2"/>
    <w:rsid w:val="00F04712"/>
    <w:rsid w:val="00F13360"/>
    <w:rsid w:val="00F22EC7"/>
    <w:rsid w:val="00F26109"/>
    <w:rsid w:val="00F325C8"/>
    <w:rsid w:val="00F5650F"/>
    <w:rsid w:val="00F653B8"/>
    <w:rsid w:val="00F8744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D7FCD"/>
    <w:pPr>
      <w:spacing w:after="0"/>
      <w:ind w:left="720"/>
    </w:pPr>
    <w:rPr>
      <w:rFonts w:ascii="Calibri" w:eastAsiaTheme="minorEastAsia" w:hAnsi="Calibri" w:cs="Calibri"/>
      <w:sz w:val="22"/>
      <w:szCs w:val="22"/>
      <w:lang w:val="en-US" w:eastAsia="ko-KR"/>
    </w:rPr>
  </w:style>
  <w:style w:type="character" w:styleId="CommentReference">
    <w:name w:val="annotation reference"/>
    <w:basedOn w:val="DefaultParagraphFont"/>
    <w:rsid w:val="004940F4"/>
    <w:rPr>
      <w:sz w:val="16"/>
      <w:szCs w:val="16"/>
    </w:rPr>
  </w:style>
  <w:style w:type="paragraph" w:styleId="CommentText">
    <w:name w:val="annotation text"/>
    <w:basedOn w:val="Normal"/>
    <w:link w:val="CommentTextChar"/>
    <w:rsid w:val="004940F4"/>
  </w:style>
  <w:style w:type="character" w:customStyle="1" w:styleId="CommentTextChar">
    <w:name w:val="Comment Text Char"/>
    <w:basedOn w:val="DefaultParagraphFont"/>
    <w:link w:val="CommentText"/>
    <w:rsid w:val="004940F4"/>
    <w:rPr>
      <w:lang w:eastAsia="en-US"/>
    </w:rPr>
  </w:style>
  <w:style w:type="paragraph" w:styleId="CommentSubject">
    <w:name w:val="annotation subject"/>
    <w:basedOn w:val="CommentText"/>
    <w:next w:val="CommentText"/>
    <w:link w:val="CommentSubjectChar"/>
    <w:rsid w:val="004940F4"/>
    <w:rPr>
      <w:b/>
      <w:bCs/>
    </w:rPr>
  </w:style>
  <w:style w:type="character" w:customStyle="1" w:styleId="CommentSubjectChar">
    <w:name w:val="Comment Subject Char"/>
    <w:basedOn w:val="CommentTextChar"/>
    <w:link w:val="CommentSubject"/>
    <w:rsid w:val="004940F4"/>
    <w:rPr>
      <w:b/>
      <w:bCs/>
      <w:lang w:eastAsia="en-US"/>
    </w:rPr>
  </w:style>
  <w:style w:type="paragraph" w:styleId="Revision">
    <w:name w:val="Revision"/>
    <w:hidden/>
    <w:uiPriority w:val="99"/>
    <w:semiHidden/>
    <w:rsid w:val="00EC6F54"/>
    <w:rPr>
      <w:lang w:eastAsia="en-US"/>
    </w:rPr>
  </w:style>
  <w:style w:type="paragraph" w:styleId="Caption">
    <w:name w:val="caption"/>
    <w:basedOn w:val="Normal"/>
    <w:next w:val="Normal"/>
    <w:unhideWhenUsed/>
    <w:qFormat/>
    <w:rsid w:val="000B594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442113">
      <w:bodyDiv w:val="1"/>
      <w:marLeft w:val="0"/>
      <w:marRight w:val="0"/>
      <w:marTop w:val="0"/>
      <w:marBottom w:val="0"/>
      <w:divBdr>
        <w:top w:val="none" w:sz="0" w:space="0" w:color="auto"/>
        <w:left w:val="none" w:sz="0" w:space="0" w:color="auto"/>
        <w:bottom w:val="none" w:sz="0" w:space="0" w:color="auto"/>
        <w:right w:val="none" w:sz="0" w:space="0" w:color="auto"/>
      </w:divBdr>
    </w:div>
    <w:div w:id="567038391">
      <w:bodyDiv w:val="1"/>
      <w:marLeft w:val="0"/>
      <w:marRight w:val="0"/>
      <w:marTop w:val="0"/>
      <w:marBottom w:val="0"/>
      <w:divBdr>
        <w:top w:val="none" w:sz="0" w:space="0" w:color="auto"/>
        <w:left w:val="none" w:sz="0" w:space="0" w:color="auto"/>
        <w:bottom w:val="none" w:sz="0" w:space="0" w:color="auto"/>
        <w:right w:val="none" w:sz="0" w:space="0" w:color="auto"/>
      </w:divBdr>
    </w:div>
    <w:div w:id="1249340965">
      <w:bodyDiv w:val="1"/>
      <w:marLeft w:val="0"/>
      <w:marRight w:val="0"/>
      <w:marTop w:val="0"/>
      <w:marBottom w:val="0"/>
      <w:divBdr>
        <w:top w:val="none" w:sz="0" w:space="0" w:color="auto"/>
        <w:left w:val="none" w:sz="0" w:space="0" w:color="auto"/>
        <w:bottom w:val="none" w:sz="0" w:space="0" w:color="auto"/>
        <w:right w:val="none" w:sz="0" w:space="0" w:color="auto"/>
      </w:divBdr>
    </w:div>
    <w:div w:id="1255750250">
      <w:bodyDiv w:val="1"/>
      <w:marLeft w:val="0"/>
      <w:marRight w:val="0"/>
      <w:marTop w:val="0"/>
      <w:marBottom w:val="0"/>
      <w:divBdr>
        <w:top w:val="none" w:sz="0" w:space="0" w:color="auto"/>
        <w:left w:val="none" w:sz="0" w:space="0" w:color="auto"/>
        <w:bottom w:val="none" w:sz="0" w:space="0" w:color="auto"/>
        <w:right w:val="none" w:sz="0" w:space="0" w:color="auto"/>
      </w:divBdr>
    </w:div>
    <w:div w:id="1346790113">
      <w:bodyDiv w:val="1"/>
      <w:marLeft w:val="0"/>
      <w:marRight w:val="0"/>
      <w:marTop w:val="0"/>
      <w:marBottom w:val="0"/>
      <w:divBdr>
        <w:top w:val="none" w:sz="0" w:space="0" w:color="auto"/>
        <w:left w:val="none" w:sz="0" w:space="0" w:color="auto"/>
        <w:bottom w:val="none" w:sz="0" w:space="0" w:color="auto"/>
        <w:right w:val="none" w:sz="0" w:space="0" w:color="auto"/>
      </w:divBdr>
    </w:div>
    <w:div w:id="204702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sa/TSG_SA/TSGS_94E_Electronic_2021_12/Docs/SP-21156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DF0D5-7DED-4738-A5E6-46989A35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Pages>
  <Words>656</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17</cp:revision>
  <cp:lastPrinted>2019-02-25T14:05:00Z</cp:lastPrinted>
  <dcterms:created xsi:type="dcterms:W3CDTF">2023-01-25T14:36:00Z</dcterms:created>
  <dcterms:modified xsi:type="dcterms:W3CDTF">2023-02-10T19:22:00Z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